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74"/>
      </w:tblGrid>
      <w:tr w:rsidR="00BB1C82" w:rsidRPr="00E00412" w:rsidTr="00624A86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C82" w:rsidRPr="003A6683" w:rsidRDefault="00BB1C82" w:rsidP="00624A86">
            <w:pPr>
              <w:snapToGrid w:val="0"/>
              <w:spacing w:beforeLines="50" w:before="180"/>
              <w:jc w:val="center"/>
              <w:outlineLvl w:val="0"/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</w:pPr>
            <w:r w:rsidRPr="003A6683"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  <w:t>202</w:t>
            </w:r>
            <w:r>
              <w:rPr>
                <w:rFonts w:ascii="Arial" w:eastAsia="標楷體" w:hAnsi="Arial" w:cs="Arial" w:hint="eastAsia"/>
                <w:b/>
                <w:color w:val="000000"/>
                <w:sz w:val="36"/>
                <w:szCs w:val="32"/>
              </w:rPr>
              <w:t>2</w:t>
            </w:r>
            <w:r w:rsidRPr="003A6683"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  <w:t>年第</w:t>
            </w:r>
            <w:r>
              <w:rPr>
                <w:rFonts w:ascii="Arial" w:eastAsia="標楷體" w:hAnsi="Arial" w:cs="Arial" w:hint="eastAsia"/>
                <w:b/>
                <w:color w:val="000000"/>
                <w:sz w:val="36"/>
                <w:szCs w:val="32"/>
              </w:rPr>
              <w:t>2</w:t>
            </w:r>
            <w:r w:rsidRPr="003A6683"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  <w:t>次臺灣歐盟論壇</w:t>
            </w:r>
          </w:p>
          <w:p w:rsidR="00BB1C82" w:rsidRPr="009C0034" w:rsidRDefault="00BB1C82" w:rsidP="00624A86">
            <w:pPr>
              <w:jc w:val="center"/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</w:pPr>
            <w:r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  <w:t>20</w:t>
            </w:r>
            <w:r>
              <w:rPr>
                <w:rFonts w:ascii="Arial" w:eastAsia="標楷體" w:hAnsi="Arial" w:cs="Arial" w:hint="eastAsia"/>
                <w:b/>
                <w:color w:val="000000"/>
                <w:sz w:val="36"/>
                <w:szCs w:val="32"/>
              </w:rPr>
              <w:t xml:space="preserve">22 </w:t>
            </w:r>
            <w:r w:rsidRPr="00E00412">
              <w:rPr>
                <w:rFonts w:ascii="Arial" w:eastAsia="標楷體" w:hAnsi="Arial" w:cs="Arial"/>
                <w:b/>
                <w:color w:val="000000"/>
                <w:sz w:val="36"/>
                <w:szCs w:val="32"/>
              </w:rPr>
              <w:t xml:space="preserve">EUTW FORUM </w:t>
            </w:r>
            <w:r>
              <w:rPr>
                <w:rFonts w:ascii="Arial" w:eastAsia="標楷體" w:hAnsi="Arial" w:cs="Arial" w:hint="eastAsia"/>
                <w:b/>
                <w:color w:val="000000"/>
                <w:sz w:val="36"/>
                <w:szCs w:val="32"/>
              </w:rPr>
              <w:t>I</w:t>
            </w:r>
            <w:r>
              <w:rPr>
                <w:rFonts w:ascii="Arial" w:eastAsia="標楷體" w:hAnsi="Arial" w:cs="Arial" w:hint="eastAsia"/>
                <w:b/>
                <w:color w:val="000000"/>
                <w:sz w:val="36"/>
                <w:szCs w:val="32"/>
              </w:rPr>
              <w:t>I</w:t>
            </w:r>
          </w:p>
          <w:p w:rsidR="00BB1C82" w:rsidRPr="00BB1C82" w:rsidRDefault="00BB1C82" w:rsidP="00BB1C82">
            <w:pPr>
              <w:widowControl/>
              <w:shd w:val="clear" w:color="auto" w:fill="FFFFFF"/>
              <w:ind w:firstLineChars="600" w:firstLine="2162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B1C82">
              <w:rPr>
                <w:rFonts w:ascii="標楷體" w:eastAsia="標楷體" w:hAnsi="標楷體"/>
                <w:b/>
                <w:sz w:val="36"/>
                <w:szCs w:val="36"/>
              </w:rPr>
              <w:t>經濟成長、法國大選與歐盟政經整合</w:t>
            </w:r>
          </w:p>
          <w:p w:rsidR="00BB1C82" w:rsidRPr="00BB1C82" w:rsidRDefault="00BB1C82" w:rsidP="00BB1C82">
            <w:pPr>
              <w:widowControl/>
              <w:shd w:val="clear" w:color="auto" w:fill="FFFFFF"/>
              <w:jc w:val="center"/>
              <w:rPr>
                <w:rFonts w:ascii="Arial" w:eastAsia="標楷體" w:hAnsi="Arial" w:cs="Arial" w:hint="eastAsia"/>
                <w:sz w:val="32"/>
                <w:szCs w:val="36"/>
              </w:rPr>
            </w:pPr>
            <w:r w:rsidRPr="00BB1C82">
              <w:rPr>
                <w:rFonts w:ascii="Arial" w:eastAsia="標楷體" w:hAnsi="Arial" w:cs="Arial"/>
                <w:sz w:val="32"/>
                <w:szCs w:val="36"/>
              </w:rPr>
              <w:t>Economic Growth, French Presidential Election and the Future of European Integration</w:t>
            </w:r>
          </w:p>
          <w:p w:rsidR="00BB1C82" w:rsidRPr="00E00412" w:rsidRDefault="00BB1C82" w:rsidP="00624A86">
            <w:pPr>
              <w:widowControl/>
              <w:numPr>
                <w:ilvl w:val="0"/>
                <w:numId w:val="2"/>
              </w:numPr>
              <w:tabs>
                <w:tab w:val="left" w:pos="-142"/>
              </w:tabs>
              <w:snapToGrid w:val="0"/>
              <w:spacing w:beforeLines="50" w:before="180" w:line="276" w:lineRule="auto"/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</w:pPr>
            <w:r w:rsidRPr="00E00412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時間：</w:t>
            </w:r>
            <w:r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20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2</w:t>
            </w:r>
            <w:r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2</w:t>
            </w:r>
            <w:r w:rsidRPr="00E00412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4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月</w:t>
            </w:r>
            <w:r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2</w:t>
            </w:r>
            <w:r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9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日</w:t>
            </w:r>
            <w:r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星期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五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)</w:t>
            </w:r>
            <w:r>
              <w:rPr>
                <w:rFonts w:eastAsia="標楷體" w:hAnsi="標楷體"/>
                <w:kern w:val="0"/>
                <w:sz w:val="28"/>
                <w:szCs w:val="26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6"/>
              </w:rPr>
              <w:t>上午</w:t>
            </w:r>
            <w:r>
              <w:rPr>
                <w:rFonts w:eastAsia="標楷體" w:hAnsi="標楷體" w:hint="eastAsia"/>
                <w:kern w:val="0"/>
                <w:sz w:val="28"/>
                <w:szCs w:val="26"/>
              </w:rPr>
              <w:t>9</w:t>
            </w:r>
            <w:r w:rsidRPr="0051274A">
              <w:rPr>
                <w:rFonts w:eastAsia="標楷體" w:hAnsi="標楷體"/>
                <w:kern w:val="0"/>
                <w:sz w:val="28"/>
                <w:szCs w:val="26"/>
              </w:rPr>
              <w:t>：</w:t>
            </w:r>
            <w:r>
              <w:rPr>
                <w:rFonts w:eastAsia="標楷體" w:hAnsi="標楷體" w:hint="eastAsia"/>
                <w:kern w:val="0"/>
                <w:sz w:val="28"/>
                <w:szCs w:val="26"/>
              </w:rPr>
              <w:t>40</w:t>
            </w:r>
            <w:r w:rsidRPr="0051274A">
              <w:rPr>
                <w:rFonts w:eastAsia="標楷體" w:hAnsi="標楷體"/>
                <w:kern w:val="0"/>
                <w:sz w:val="28"/>
                <w:szCs w:val="26"/>
              </w:rPr>
              <w:t>至</w:t>
            </w:r>
            <w:r w:rsidRPr="0051274A">
              <w:rPr>
                <w:rFonts w:eastAsia="標楷體" w:hAnsi="標楷體"/>
                <w:kern w:val="0"/>
                <w:sz w:val="28"/>
                <w:szCs w:val="26"/>
              </w:rPr>
              <w:t>1</w:t>
            </w:r>
            <w:r w:rsidRPr="0051274A">
              <w:rPr>
                <w:rFonts w:eastAsia="標楷體" w:hAnsi="標楷體" w:hint="eastAsia"/>
                <w:kern w:val="0"/>
                <w:sz w:val="28"/>
                <w:szCs w:val="26"/>
              </w:rPr>
              <w:t>2</w:t>
            </w:r>
            <w:r w:rsidRPr="0051274A">
              <w:rPr>
                <w:rFonts w:eastAsia="標楷體" w:hAnsi="標楷體"/>
                <w:kern w:val="0"/>
                <w:sz w:val="28"/>
                <w:szCs w:val="26"/>
              </w:rPr>
              <w:t>：</w:t>
            </w:r>
            <w:r>
              <w:rPr>
                <w:rFonts w:eastAsia="標楷體" w:hAnsi="標楷體" w:hint="eastAsia"/>
                <w:kern w:val="0"/>
                <w:sz w:val="28"/>
                <w:szCs w:val="26"/>
              </w:rPr>
              <w:t>00</w:t>
            </w:r>
          </w:p>
          <w:p w:rsidR="00BB1C82" w:rsidRPr="004E2617" w:rsidRDefault="00BB1C82" w:rsidP="00624A86">
            <w:pPr>
              <w:widowControl/>
              <w:numPr>
                <w:ilvl w:val="0"/>
                <w:numId w:val="2"/>
              </w:numPr>
              <w:tabs>
                <w:tab w:val="left" w:pos="-142"/>
              </w:tabs>
              <w:snapToGrid w:val="0"/>
              <w:spacing w:beforeLines="50" w:before="180" w:line="276" w:lineRule="auto"/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</w:pPr>
            <w:r w:rsidRPr="000C7970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地點：</w:t>
            </w: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國家圖書館藝文中心</w:t>
            </w: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301</w:t>
            </w: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會議室（台北市中山南路</w:t>
            </w: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20</w:t>
            </w: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號</w:t>
            </w: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3</w:t>
            </w: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樓）</w:t>
            </w:r>
          </w:p>
          <w:p w:rsidR="00BB1C82" w:rsidRDefault="00BB1C82" w:rsidP="00624A86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</w:pP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主辦單位：臺灣歐洲聯盟中心、臺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大</w:t>
            </w: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歐盟卓越中心、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政大歐洲聯盟研究中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</w:p>
          <w:p w:rsidR="00BB1C82" w:rsidRPr="004E2617" w:rsidRDefault="00BB1C82" w:rsidP="00624A86">
            <w:pPr>
              <w:pStyle w:val="a4"/>
              <w:ind w:leftChars="0" w:left="720"/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 xml:space="preserve">          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心、國家圖書館</w:t>
            </w:r>
          </w:p>
          <w:p w:rsidR="00BB1C82" w:rsidRPr="00E142F3" w:rsidRDefault="00BB1C82" w:rsidP="00624A86">
            <w:pPr>
              <w:widowControl/>
              <w:numPr>
                <w:ilvl w:val="0"/>
                <w:numId w:val="2"/>
              </w:numPr>
              <w:tabs>
                <w:tab w:val="left" w:pos="-142"/>
              </w:tabs>
              <w:snapToGrid w:val="0"/>
              <w:spacing w:beforeLines="50" w:before="180" w:line="276" w:lineRule="auto"/>
              <w:rPr>
                <w:rFonts w:ascii="標楷體" w:hAnsi="Arial" w:cs="標楷體"/>
                <w:color w:val="000000"/>
                <w:sz w:val="28"/>
                <w:szCs w:val="24"/>
              </w:rPr>
            </w:pPr>
            <w:r w:rsidRPr="000C7970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協辦單位：</w:t>
            </w:r>
            <w:r w:rsidRPr="004E2617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外交部外交及國際事務學院、中華民國（臺灣）歐洲研究協會</w:t>
            </w:r>
          </w:p>
        </w:tc>
      </w:tr>
      <w:tr w:rsidR="00BB1C82" w:rsidRPr="00E00412" w:rsidTr="00624A86">
        <w:tc>
          <w:tcPr>
            <w:tcW w:w="9924" w:type="dxa"/>
            <w:gridSpan w:val="2"/>
            <w:shd w:val="clear" w:color="auto" w:fill="8DB3E2"/>
          </w:tcPr>
          <w:p w:rsidR="00BB1C82" w:rsidRPr="00E00412" w:rsidRDefault="00BB1C82" w:rsidP="00624A86">
            <w:pPr>
              <w:pStyle w:val="a"/>
              <w:numPr>
                <w:ilvl w:val="0"/>
                <w:numId w:val="0"/>
              </w:numPr>
              <w:ind w:rightChars="-60" w:right="-144"/>
              <w:jc w:val="center"/>
              <w:rPr>
                <w:rFonts w:ascii="標楷體" w:hAnsi="Arial" w:cs="標楷體"/>
                <w:noProof w:val="0"/>
                <w:sz w:val="28"/>
                <w:szCs w:val="24"/>
              </w:rPr>
            </w:pPr>
            <w:r w:rsidRPr="00E00412">
              <w:rPr>
                <w:rFonts w:hAnsi="標楷體" w:hint="eastAsia"/>
                <w:b/>
                <w:szCs w:val="28"/>
              </w:rPr>
              <w:t>議</w:t>
            </w:r>
            <w:r w:rsidRPr="00E00412">
              <w:rPr>
                <w:rFonts w:hAnsi="標楷體" w:hint="eastAsia"/>
                <w:b/>
                <w:szCs w:val="28"/>
              </w:rPr>
              <w:t xml:space="preserve">  </w:t>
            </w:r>
            <w:r w:rsidRPr="00E00412">
              <w:rPr>
                <w:rFonts w:hAnsi="標楷體" w:hint="eastAsia"/>
                <w:b/>
                <w:szCs w:val="28"/>
              </w:rPr>
              <w:t>程</w:t>
            </w:r>
          </w:p>
        </w:tc>
      </w:tr>
      <w:tr w:rsidR="00BB1C82" w:rsidRPr="00E00412" w:rsidTr="00624A86">
        <w:trPr>
          <w:trHeight w:val="718"/>
        </w:trPr>
        <w:tc>
          <w:tcPr>
            <w:tcW w:w="2950" w:type="dxa"/>
            <w:shd w:val="clear" w:color="auto" w:fill="auto"/>
            <w:vAlign w:val="center"/>
          </w:tcPr>
          <w:p w:rsidR="00BB1C82" w:rsidRPr="002B438F" w:rsidRDefault="00BB1C82" w:rsidP="00624A86">
            <w:pPr>
              <w:pStyle w:val="a"/>
              <w:numPr>
                <w:ilvl w:val="0"/>
                <w:numId w:val="0"/>
              </w:numPr>
              <w:ind w:rightChars="-60" w:right="-144"/>
              <w:jc w:val="center"/>
              <w:rPr>
                <w:color w:val="000000"/>
                <w:sz w:val="28"/>
                <w:szCs w:val="24"/>
              </w:rPr>
            </w:pPr>
            <w:r w:rsidRPr="002B438F">
              <w:rPr>
                <w:color w:val="000000"/>
                <w:sz w:val="28"/>
                <w:szCs w:val="24"/>
              </w:rPr>
              <w:t xml:space="preserve">09:40-10:00 </w:t>
            </w:r>
            <w:r w:rsidRPr="002B438F">
              <w:rPr>
                <w:noProof w:val="0"/>
                <w:color w:val="000000"/>
                <w:sz w:val="28"/>
                <w:szCs w:val="24"/>
              </w:rPr>
              <w:t>(20</w:t>
            </w:r>
            <w:r>
              <w:rPr>
                <w:rFonts w:hint="eastAsia"/>
                <w:noProof w:val="0"/>
                <w:color w:val="000000"/>
                <w:sz w:val="28"/>
                <w:szCs w:val="24"/>
              </w:rPr>
              <w:t>分鐘</w:t>
            </w:r>
            <w:r w:rsidRPr="002B438F">
              <w:rPr>
                <w:noProof w:val="0"/>
                <w:color w:val="000000"/>
                <w:sz w:val="28"/>
                <w:szCs w:val="24"/>
              </w:rPr>
              <w:t>)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BB1C82" w:rsidRPr="00E00412" w:rsidRDefault="00BB1C82" w:rsidP="00624A86">
            <w:pPr>
              <w:pStyle w:val="a"/>
              <w:numPr>
                <w:ilvl w:val="0"/>
                <w:numId w:val="0"/>
              </w:numPr>
              <w:ind w:rightChars="-60" w:right="-144"/>
              <w:jc w:val="center"/>
              <w:rPr>
                <w:rFonts w:ascii="標楷體" w:hAnsi="Arial" w:cs="標楷體"/>
                <w:noProof w:val="0"/>
                <w:color w:val="000000"/>
                <w:sz w:val="28"/>
                <w:szCs w:val="24"/>
              </w:rPr>
            </w:pPr>
            <w:r w:rsidRPr="00E00412">
              <w:rPr>
                <w:rFonts w:ascii="標楷體" w:hAnsi="Arial" w:cs="標楷體" w:hint="eastAsia"/>
                <w:b/>
                <w:noProof w:val="0"/>
                <w:color w:val="000000"/>
                <w:sz w:val="28"/>
                <w:szCs w:val="24"/>
              </w:rPr>
              <w:t>報到</w:t>
            </w:r>
          </w:p>
        </w:tc>
      </w:tr>
      <w:tr w:rsidR="00BB1C82" w:rsidRPr="00E00412" w:rsidTr="00624A86">
        <w:trPr>
          <w:trHeight w:val="2153"/>
        </w:trPr>
        <w:tc>
          <w:tcPr>
            <w:tcW w:w="2950" w:type="dxa"/>
            <w:shd w:val="clear" w:color="auto" w:fill="auto"/>
            <w:vAlign w:val="center"/>
          </w:tcPr>
          <w:p w:rsidR="00BB1C82" w:rsidRPr="002351CA" w:rsidRDefault="00BB1C82" w:rsidP="00624A86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4"/>
              </w:rPr>
            </w:pPr>
            <w:r w:rsidRPr="002351CA">
              <w:rPr>
                <w:color w:val="000000"/>
                <w:sz w:val="28"/>
                <w:szCs w:val="24"/>
              </w:rPr>
              <w:t>10:00-</w:t>
            </w:r>
            <w:r w:rsidRPr="002351CA">
              <w:rPr>
                <w:sz w:val="28"/>
                <w:szCs w:val="24"/>
              </w:rPr>
              <w:t>1</w:t>
            </w:r>
            <w:r>
              <w:rPr>
                <w:rFonts w:hint="eastAsia"/>
                <w:sz w:val="28"/>
                <w:szCs w:val="24"/>
              </w:rPr>
              <w:t>2</w:t>
            </w:r>
            <w:r w:rsidRPr="002351CA">
              <w:rPr>
                <w:sz w:val="28"/>
                <w:szCs w:val="24"/>
              </w:rPr>
              <w:t>:</w:t>
            </w:r>
            <w:r>
              <w:rPr>
                <w:rFonts w:hint="eastAsia"/>
                <w:sz w:val="28"/>
                <w:szCs w:val="24"/>
              </w:rPr>
              <w:t>0</w:t>
            </w:r>
            <w:r w:rsidRPr="002351CA">
              <w:rPr>
                <w:sz w:val="28"/>
                <w:szCs w:val="24"/>
              </w:rPr>
              <w:t xml:space="preserve">0 </w:t>
            </w:r>
            <w:r w:rsidRPr="002351CA">
              <w:rPr>
                <w:noProof w:val="0"/>
                <w:sz w:val="28"/>
                <w:szCs w:val="24"/>
              </w:rPr>
              <w:t>(1</w:t>
            </w:r>
            <w:r>
              <w:rPr>
                <w:rFonts w:hint="eastAsia"/>
                <w:noProof w:val="0"/>
                <w:sz w:val="28"/>
                <w:szCs w:val="24"/>
              </w:rPr>
              <w:t>2</w:t>
            </w:r>
            <w:r w:rsidRPr="002351CA">
              <w:rPr>
                <w:noProof w:val="0"/>
                <w:sz w:val="28"/>
                <w:szCs w:val="24"/>
              </w:rPr>
              <w:t>0</w:t>
            </w:r>
            <w:r w:rsidRPr="002351CA">
              <w:rPr>
                <w:noProof w:val="0"/>
                <w:sz w:val="28"/>
                <w:szCs w:val="24"/>
              </w:rPr>
              <w:t>分鐘</w:t>
            </w:r>
            <w:r w:rsidRPr="002351CA">
              <w:rPr>
                <w:noProof w:val="0"/>
                <w:sz w:val="28"/>
                <w:szCs w:val="24"/>
              </w:rPr>
              <w:t>)</w:t>
            </w:r>
          </w:p>
        </w:tc>
        <w:tc>
          <w:tcPr>
            <w:tcW w:w="6974" w:type="dxa"/>
            <w:shd w:val="clear" w:color="auto" w:fill="auto"/>
          </w:tcPr>
          <w:p w:rsidR="002134FE" w:rsidRPr="002134FE" w:rsidRDefault="00BB1C82" w:rsidP="00624A86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hint="eastAsia"/>
                <w:b/>
                <w:noProof w:val="0"/>
                <w:color w:val="000000"/>
                <w:sz w:val="28"/>
                <w:szCs w:val="24"/>
              </w:rPr>
            </w:pPr>
            <w:r w:rsidRPr="002351CA">
              <w:rPr>
                <w:b/>
                <w:noProof w:val="0"/>
                <w:color w:val="000000"/>
                <w:sz w:val="28"/>
                <w:szCs w:val="24"/>
              </w:rPr>
              <w:t>202</w:t>
            </w:r>
            <w:r>
              <w:rPr>
                <w:rFonts w:hint="eastAsia"/>
                <w:b/>
                <w:noProof w:val="0"/>
                <w:color w:val="000000"/>
                <w:sz w:val="28"/>
                <w:szCs w:val="24"/>
              </w:rPr>
              <w:t>2</w:t>
            </w:r>
            <w:r w:rsidRPr="002351CA">
              <w:rPr>
                <w:b/>
                <w:noProof w:val="0"/>
                <w:color w:val="000000"/>
                <w:sz w:val="28"/>
                <w:szCs w:val="24"/>
              </w:rPr>
              <w:t>年第</w:t>
            </w:r>
            <w:r w:rsidR="002134FE">
              <w:rPr>
                <w:rFonts w:hint="eastAsia"/>
                <w:b/>
                <w:noProof w:val="0"/>
                <w:color w:val="000000"/>
                <w:sz w:val="28"/>
                <w:szCs w:val="24"/>
              </w:rPr>
              <w:t>2</w:t>
            </w:r>
            <w:r w:rsidRPr="002351CA">
              <w:rPr>
                <w:b/>
                <w:noProof w:val="0"/>
                <w:color w:val="000000"/>
                <w:sz w:val="28"/>
                <w:szCs w:val="24"/>
              </w:rPr>
              <w:t>次臺灣歐盟論壇</w:t>
            </w:r>
            <w:r>
              <w:rPr>
                <w:rFonts w:hint="eastAsia"/>
                <w:b/>
                <w:noProof w:val="0"/>
                <w:color w:val="000000"/>
                <w:sz w:val="28"/>
                <w:szCs w:val="24"/>
              </w:rPr>
              <w:t>：</w:t>
            </w:r>
            <w:r w:rsidR="002134FE" w:rsidRPr="002134FE">
              <w:rPr>
                <w:rFonts w:hint="eastAsia"/>
                <w:b/>
                <w:noProof w:val="0"/>
                <w:color w:val="000000"/>
                <w:sz w:val="28"/>
                <w:szCs w:val="24"/>
              </w:rPr>
              <w:t>經濟成長、法國大選與歐盟政經整合</w:t>
            </w:r>
          </w:p>
          <w:p w:rsidR="00BB1C82" w:rsidRPr="00F51399" w:rsidRDefault="00BB1C82" w:rsidP="00624A86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ascii="標楷體" w:hAnsi="Arial" w:cs="標楷體"/>
                <w:b/>
                <w:noProof w:val="0"/>
                <w:color w:val="000000"/>
                <w:sz w:val="30"/>
                <w:szCs w:val="30"/>
              </w:rPr>
            </w:pPr>
            <w:r w:rsidRPr="00F51399">
              <w:rPr>
                <w:rFonts w:ascii="標楷體" w:hAnsi="Arial" w:cs="標楷體" w:hint="eastAsia"/>
                <w:b/>
                <w:noProof w:val="0"/>
                <w:color w:val="000000"/>
                <w:sz w:val="30"/>
                <w:szCs w:val="30"/>
              </w:rPr>
              <w:t>主持人:</w:t>
            </w:r>
          </w:p>
          <w:p w:rsidR="00BB1C82" w:rsidRPr="00E00412" w:rsidRDefault="00BB1C82" w:rsidP="00624A86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ascii="標楷體" w:hAnsi="Arial" w:cs="標楷體"/>
                <w:noProof w:val="0"/>
                <w:color w:val="000000"/>
                <w:sz w:val="28"/>
                <w:szCs w:val="24"/>
              </w:rPr>
            </w:pPr>
            <w:r w:rsidRPr="00E00412">
              <w:rPr>
                <w:rFonts w:ascii="標楷體" w:hAnsi="Arial" w:cs="標楷體"/>
                <w:noProof w:val="0"/>
                <w:color w:val="000000"/>
                <w:sz w:val="28"/>
                <w:szCs w:val="24"/>
              </w:rPr>
              <w:t>張台麟</w:t>
            </w:r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 xml:space="preserve"> </w:t>
            </w:r>
            <w:r w:rsidRPr="00F76198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(</w:t>
            </w:r>
            <w:r w:rsidRPr="00A620EE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佛光大學公共事務學系兼任教授、臺灣歐盟論壇召集人</w:t>
            </w:r>
            <w:r w:rsidRPr="00F76198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)</w:t>
            </w:r>
          </w:p>
          <w:p w:rsidR="00BB1C82" w:rsidRPr="00F51399" w:rsidRDefault="00BB1C82" w:rsidP="00624A86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ascii="標楷體" w:hAnsi="Arial" w:cs="標楷體"/>
                <w:b/>
                <w:noProof w:val="0"/>
                <w:color w:val="000000"/>
                <w:sz w:val="30"/>
                <w:szCs w:val="30"/>
              </w:rPr>
            </w:pPr>
            <w:r w:rsidRPr="00F51399">
              <w:rPr>
                <w:rFonts w:ascii="標楷體" w:hAnsi="Arial" w:cs="標楷體" w:hint="eastAsia"/>
                <w:b/>
                <w:noProof w:val="0"/>
                <w:color w:val="000000"/>
                <w:sz w:val="30"/>
                <w:szCs w:val="30"/>
              </w:rPr>
              <w:t>發表人：</w:t>
            </w:r>
          </w:p>
          <w:p w:rsidR="00BB1C82" w:rsidRDefault="00293B79" w:rsidP="00624A86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ascii="標楷體" w:hAnsi="Arial" w:cs="標楷體"/>
                <w:noProof w:val="0"/>
                <w:color w:val="000000"/>
                <w:sz w:val="28"/>
                <w:szCs w:val="24"/>
              </w:rPr>
            </w:pPr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洪德欽</w:t>
            </w:r>
            <w:r w:rsidR="00BB1C82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中研院歐</w:t>
            </w:r>
            <w:r w:rsidR="00420401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美</w:t>
            </w:r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所研究員兼副所長</w:t>
            </w:r>
            <w:r w:rsidR="00D31B23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)</w:t>
            </w:r>
          </w:p>
          <w:p w:rsidR="00BB1C82" w:rsidRDefault="00293B79" w:rsidP="00624A86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ascii="標楷體" w:hAnsi="Arial" w:cs="標楷體"/>
                <w:noProof w:val="0"/>
                <w:color w:val="000000"/>
                <w:sz w:val="28"/>
                <w:szCs w:val="24"/>
              </w:rPr>
            </w:pPr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卓忠宏 (</w:t>
            </w:r>
            <w:r w:rsidRPr="00293B79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淡江大學</w:t>
            </w:r>
            <w:r w:rsidR="00420401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歐研所</w:t>
            </w:r>
            <w:r w:rsidRPr="00293B79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教授兼所長</w:t>
            </w:r>
            <w:r w:rsidR="00D31B23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)</w:t>
            </w:r>
          </w:p>
          <w:p w:rsidR="00293B79" w:rsidRPr="00293B79" w:rsidRDefault="00293B79" w:rsidP="00293B79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</w:pPr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楊三億</w:t>
            </w:r>
            <w:r w:rsidR="00D31B23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中興</w:t>
            </w:r>
            <w:r w:rsidR="00420401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大學國政所教授</w:t>
            </w:r>
            <w:bookmarkStart w:id="0" w:name="_GoBack"/>
            <w:bookmarkEnd w:id="0"/>
            <w:r w:rsidR="00D31B23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)</w:t>
            </w:r>
          </w:p>
          <w:p w:rsidR="00BB1C82" w:rsidRPr="00F51399" w:rsidRDefault="00BB1C82" w:rsidP="00624A86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ascii="標楷體" w:hAnsi="Arial" w:cs="標楷體"/>
                <w:b/>
                <w:noProof w:val="0"/>
                <w:color w:val="000000"/>
                <w:sz w:val="30"/>
                <w:szCs w:val="30"/>
              </w:rPr>
            </w:pPr>
            <w:r w:rsidRPr="00F51399">
              <w:rPr>
                <w:rFonts w:ascii="標楷體" w:hAnsi="Arial" w:cs="標楷體" w:hint="eastAsia"/>
                <w:b/>
                <w:noProof w:val="0"/>
                <w:color w:val="000000"/>
                <w:sz w:val="30"/>
                <w:szCs w:val="30"/>
              </w:rPr>
              <w:t>與談人:</w:t>
            </w:r>
          </w:p>
          <w:p w:rsidR="00BB1C82" w:rsidRDefault="00293B79" w:rsidP="00624A86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ascii="標楷體" w:hAnsi="Arial" w:cs="標楷體"/>
                <w:noProof w:val="0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沈臨龍</w:t>
            </w:r>
            <w:proofErr w:type="gramEnd"/>
            <w:r w:rsidR="00BB1C82" w:rsidRPr="004E2617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（</w:t>
            </w:r>
            <w:r w:rsidRPr="00293B79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財團法人新世代金融基金會副董事長</w:t>
            </w:r>
            <w:r w:rsidR="00BB1C82" w:rsidRPr="004E2617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）</w:t>
            </w:r>
          </w:p>
          <w:p w:rsidR="00293B79" w:rsidRPr="00293B79" w:rsidRDefault="00293B79" w:rsidP="00624A86">
            <w:pPr>
              <w:pStyle w:val="a"/>
              <w:numPr>
                <w:ilvl w:val="0"/>
                <w:numId w:val="0"/>
              </w:numPr>
              <w:ind w:rightChars="-60" w:right="-144"/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</w:pPr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張銘忠 (</w:t>
            </w:r>
            <w:r w:rsidR="00BD0B5D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外交部</w:t>
            </w:r>
            <w:r w:rsidR="00251142" w:rsidRPr="00251142"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外交及國際事務學院大使</w:t>
            </w:r>
            <w:r>
              <w:rPr>
                <w:rFonts w:ascii="標楷體" w:hAnsi="Arial" w:cs="標楷體" w:hint="eastAsia"/>
                <w:noProof w:val="0"/>
                <w:color w:val="000000"/>
                <w:sz w:val="28"/>
                <w:szCs w:val="24"/>
              </w:rPr>
              <w:t>)</w:t>
            </w:r>
          </w:p>
        </w:tc>
      </w:tr>
    </w:tbl>
    <w:p w:rsidR="00D31B23" w:rsidRDefault="000D4E48">
      <w:pPr>
        <w:rPr>
          <w:rFonts w:ascii="標楷體" w:eastAsia="標楷體" w:hAnsi="Arial" w:cs="標楷體"/>
          <w:color w:val="000000"/>
          <w:kern w:val="0"/>
          <w:sz w:val="28"/>
          <w:szCs w:val="24"/>
        </w:rPr>
      </w:pPr>
      <w:r w:rsidRPr="00D31B23">
        <w:rPr>
          <w:rFonts w:ascii="標楷體" w:eastAsia="標楷體" w:hAnsi="Arial" w:cs="標楷體" w:hint="eastAsia"/>
          <w:color w:val="000000"/>
          <w:kern w:val="0"/>
          <w:sz w:val="28"/>
          <w:szCs w:val="24"/>
        </w:rPr>
        <w:t>報名方式:</w:t>
      </w:r>
      <w:r w:rsidR="00D31B23" w:rsidRPr="00D31B23">
        <w:rPr>
          <w:rFonts w:ascii="標楷體" w:eastAsia="標楷體" w:hAnsi="Arial" w:cs="標楷體" w:hint="eastAsia"/>
          <w:color w:val="000000"/>
          <w:kern w:val="0"/>
          <w:sz w:val="28"/>
          <w:szCs w:val="24"/>
        </w:rPr>
        <w:t xml:space="preserve"> 臺灣</w:t>
      </w:r>
      <w:proofErr w:type="gramStart"/>
      <w:r w:rsidR="00D31B23" w:rsidRPr="00D31B23">
        <w:rPr>
          <w:rFonts w:ascii="標楷體" w:eastAsia="標楷體" w:hAnsi="Arial" w:cs="標楷體" w:hint="eastAsia"/>
          <w:color w:val="000000"/>
          <w:kern w:val="0"/>
          <w:sz w:val="28"/>
          <w:szCs w:val="24"/>
        </w:rPr>
        <w:t>歐盟中心官網</w:t>
      </w:r>
      <w:proofErr w:type="gramEnd"/>
      <w:r w:rsidR="00D31B23">
        <w:rPr>
          <w:rFonts w:ascii="標楷體" w:eastAsia="標楷體" w:hAnsi="Arial" w:cs="標楷體" w:hint="eastAsia"/>
          <w:color w:val="000000"/>
          <w:kern w:val="0"/>
          <w:sz w:val="28"/>
          <w:szCs w:val="24"/>
        </w:rPr>
        <w:t xml:space="preserve"> </w:t>
      </w:r>
      <w:hyperlink r:id="rId5" w:history="1">
        <w:r w:rsidR="00D31B23" w:rsidRPr="006601C8">
          <w:rPr>
            <w:rStyle w:val="a5"/>
            <w:rFonts w:ascii="標楷體" w:eastAsia="標楷體" w:hAnsi="Arial" w:cs="標楷體" w:hint="eastAsia"/>
            <w:kern w:val="0"/>
            <w:sz w:val="28"/>
            <w:szCs w:val="24"/>
          </w:rPr>
          <w:t>www.eutw.org.tw</w:t>
        </w:r>
      </w:hyperlink>
    </w:p>
    <w:p w:rsidR="00D31B23" w:rsidRPr="00D31B23" w:rsidRDefault="000D4E48">
      <w:pPr>
        <w:rPr>
          <w:rFonts w:ascii="標楷體" w:eastAsia="標楷體" w:hAnsi="Arial" w:cs="標楷體" w:hint="eastAsia"/>
          <w:color w:val="000000"/>
          <w:kern w:val="0"/>
          <w:sz w:val="28"/>
          <w:szCs w:val="24"/>
        </w:rPr>
      </w:pPr>
      <w:r w:rsidRPr="00D31B23">
        <w:rPr>
          <w:rFonts w:ascii="標楷體" w:eastAsia="標楷體" w:hAnsi="Arial" w:cs="標楷體" w:hint="eastAsia"/>
          <w:color w:val="000000"/>
          <w:kern w:val="0"/>
          <w:sz w:val="28"/>
          <w:szCs w:val="24"/>
        </w:rPr>
        <w:t xml:space="preserve">報名網址: </w:t>
      </w:r>
      <w:hyperlink r:id="rId6" w:history="1">
        <w:r w:rsidR="00D31B23" w:rsidRPr="006601C8">
          <w:rPr>
            <w:rStyle w:val="a5"/>
            <w:rFonts w:ascii="標楷體" w:eastAsia="標楷體" w:hAnsi="Arial" w:cs="標楷體"/>
            <w:kern w:val="0"/>
            <w:sz w:val="28"/>
            <w:szCs w:val="24"/>
          </w:rPr>
          <w:t>https://forms.gle/6n5JiDrfPNagEoLV7</w:t>
        </w:r>
      </w:hyperlink>
    </w:p>
    <w:sectPr w:rsidR="00D31B23" w:rsidRPr="00D31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454F"/>
    <w:multiLevelType w:val="hybridMultilevel"/>
    <w:tmpl w:val="A6523E58"/>
    <w:lvl w:ilvl="0" w:tplc="3780BAD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7606D"/>
    <w:multiLevelType w:val="multilevel"/>
    <w:tmpl w:val="E7AE9BAA"/>
    <w:lvl w:ilvl="0">
      <w:start w:val="1"/>
      <w:numFmt w:val="taiwaneseCountingThousand"/>
      <w:pStyle w:val="a"/>
      <w:suff w:val="nothing"/>
      <w:lvlText w:val="%1、"/>
      <w:lvlJc w:val="left"/>
      <w:pPr>
        <w:ind w:left="3760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4412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4723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5370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5687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6334"/>
        </w:tabs>
        <w:ind w:left="6334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6651"/>
        </w:tabs>
        <w:ind w:left="6651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7286"/>
        </w:tabs>
        <w:ind w:left="7286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7909"/>
        </w:tabs>
        <w:ind w:left="7909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2"/>
    <w:rsid w:val="00045E16"/>
    <w:rsid w:val="000D4E48"/>
    <w:rsid w:val="001F0D0D"/>
    <w:rsid w:val="002134FE"/>
    <w:rsid w:val="00251142"/>
    <w:rsid w:val="00293B79"/>
    <w:rsid w:val="00420401"/>
    <w:rsid w:val="006B5080"/>
    <w:rsid w:val="007D6582"/>
    <w:rsid w:val="00987F94"/>
    <w:rsid w:val="00AC520C"/>
    <w:rsid w:val="00B8099A"/>
    <w:rsid w:val="00BB1C82"/>
    <w:rsid w:val="00BD0B5D"/>
    <w:rsid w:val="00C1605C"/>
    <w:rsid w:val="00D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9142"/>
  <w15:chartTrackingRefBased/>
  <w15:docId w15:val="{EC07F4F6-4C31-4394-BA4A-B4177DD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B1C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分項段落"/>
    <w:basedOn w:val="a0"/>
    <w:rsid w:val="00BB1C82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</w:rPr>
  </w:style>
  <w:style w:type="paragraph" w:styleId="a4">
    <w:name w:val="List Paragraph"/>
    <w:basedOn w:val="a0"/>
    <w:uiPriority w:val="34"/>
    <w:qFormat/>
    <w:rsid w:val="00BB1C82"/>
    <w:pPr>
      <w:ind w:leftChars="200" w:left="480"/>
    </w:pPr>
  </w:style>
  <w:style w:type="character" w:styleId="a5">
    <w:name w:val="Hyperlink"/>
    <w:basedOn w:val="a1"/>
    <w:uiPriority w:val="99"/>
    <w:unhideWhenUsed/>
    <w:rsid w:val="00D31B23"/>
    <w:rPr>
      <w:color w:val="0563C1" w:themeColor="hyperlink"/>
      <w:u w:val="single"/>
    </w:rPr>
  </w:style>
  <w:style w:type="character" w:styleId="a6">
    <w:name w:val="Unresolved Mention"/>
    <w:basedOn w:val="a1"/>
    <w:uiPriority w:val="99"/>
    <w:semiHidden/>
    <w:unhideWhenUsed/>
    <w:rsid w:val="00D3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n5JiDrfPNagEoLV7" TargetMode="External"/><Relationship Id="rId5" Type="http://schemas.openxmlformats.org/officeDocument/2006/relationships/hyperlink" Target="http://www.eutw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eutw</dc:creator>
  <cp:keywords/>
  <dc:description/>
  <cp:lastModifiedBy>eutw</cp:lastModifiedBy>
  <cp:revision>14</cp:revision>
  <dcterms:created xsi:type="dcterms:W3CDTF">2022-03-17T05:33:00Z</dcterms:created>
  <dcterms:modified xsi:type="dcterms:W3CDTF">2022-03-17T08:09:00Z</dcterms:modified>
</cp:coreProperties>
</file>